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324" w:lineRule="auto"/>
      </w:pPr>
      <w:r>
        <w:rPr>
          <w:rFonts w:ascii="Georgia" w:hAnsi="Georgia" w:eastAsia="SimSun"/>
          <w:b/>
          <w:color w:val="0D1A39"/>
          <w:sz w:val="40"/>
        </w:rPr>
        <w:t>哈尔滨理工大学软科中国大学排名提升工作简报</w:t>
      </w:r>
    </w:p>
    <w:p>
      <w:pPr>
        <w:spacing w:after="80" w:before="0" w:line="324" w:lineRule="auto"/>
      </w:pPr>
      <w:r>
        <w:rPr>
          <w:rFonts w:ascii="Georgia" w:hAnsi="Georgia" w:eastAsia="SimSun"/>
          <w:b w:val="0"/>
          <w:color w:val="0D1A39"/>
          <w:sz w:val="26"/>
        </w:rPr>
        <w:t>2027 年提升目标与三年工作安排</w:t>
      </w:r>
    </w:p>
    <w:p>
      <w:pPr>
        <w:spacing w:after="120" w:before="0" w:line="324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1 日 · 数据截至 2026 年 10 月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三年目标一览（总分为目标任务口径；名次按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882"/>
        <w:gridCol w:w="1882"/>
        <w:gridCol w:w="1882"/>
        <w:gridCol w:w="1882"/>
        <w:gridCol w:w="1882"/>
      </w:tblGrid>
      <w:tr>
        <w:trPr>
          <w:cantSplit/>
        </w:trPr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  <w:tc>
          <w:tcPr>
            <w:tcW w:type="dxa" w:w="188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2030（延伸）</w:t>
            </w:r>
          </w:p>
        </w:tc>
      </w:tr>
      <w:tr>
        <w:trPr>
          <w:cantSplit/>
        </w:trPr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185.0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188.3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188.7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188.7 分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Georgia" w:hAnsi="Georgia" w:eastAsia="SimSun"/>
                <w:b/>
                <w:color w:val="262626"/>
                <w:sz w:val="28"/>
              </w:rPr>
              <w:t>188.7 分</w:t>
            </w:r>
          </w:p>
        </w:tc>
      </w:tr>
      <w:tr>
        <w:trPr>
          <w:cantSplit/>
        </w:trPr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214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  <w:tc>
          <w:tcPr>
            <w:tcW w:type="dxa" w:w="1882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</w:tr>
    </w:tbl>
    <w:p>
      <w:pPr>
        <w:spacing w:after="200" w:before="400" w:line="324" w:lineRule="auto"/>
      </w:pPr>
      <w:r>
        <w:rPr>
          <w:rFonts w:ascii="Georgia" w:hAnsi="Georgia" w:eastAsia="SimSun"/>
          <w:b/>
          <w:color w:val="262626"/>
          <w:sz w:val="25"/>
        </w:rPr>
        <w:t>目录</w:t>
      </w:r>
    </w:p>
    <w:p>
      <w:pPr>
        <w:tabs>
          <w:tab w:pos="9411" w:val="right" w:leader="dot"/>
        </w:tabs>
        <w:spacing w:after="120" w:before="0" w:line="340" w:lineRule="exact"/>
      </w:pPr>
      <w:hyperlink w:anchor="chap_1" w:history="1">
        <w:r>
          <w:rPr>
            <w:rFonts w:ascii="Segoe UI" w:hAnsi="Segoe UI" w:eastAsia="Microsoft YaHei"/>
            <w:b w:val="0"/>
            <w:color w:val="595959"/>
            <w:sz w:val="21"/>
          </w:rPr>
          <w:t>一、基本情况与总体判断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1 \h">
        <w:r>
          <w:rPr>
            <w:rFonts w:ascii="Segoe UI" w:hAnsi="Segoe UI" w:eastAsia="Microsoft YaHei"/>
            <w:b w:val="0"/>
            <w:color w:val="595959"/>
            <w:sz w:val="21"/>
          </w:rPr>
          <w:t>2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2" w:history="1">
        <w:r>
          <w:rPr>
            <w:rFonts w:ascii="Segoe UI" w:hAnsi="Segoe UI" w:eastAsia="Microsoft YaHei"/>
            <w:b w:val="0"/>
            <w:color w:val="595959"/>
            <w:sz w:val="21"/>
          </w:rPr>
          <w:t>二、2027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2 \h">
        <w:r>
          <w:rPr>
            <w:rFonts w:ascii="Segoe UI" w:hAnsi="Segoe UI" w:eastAsia="Microsoft YaHei"/>
            <w:b w:val="0"/>
            <w:color w:val="595959"/>
            <w:sz w:val="21"/>
          </w:rPr>
          <w:t>4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3" w:history="1">
        <w:r>
          <w:rPr>
            <w:rFonts w:ascii="Segoe UI" w:hAnsi="Segoe UI" w:eastAsia="Microsoft YaHei"/>
            <w:b w:val="0"/>
            <w:color w:val="595959"/>
            <w:sz w:val="21"/>
          </w:rPr>
          <w:t>三、2028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3 \h">
        <w:r>
          <w:rPr>
            <w:rFonts w:ascii="Segoe UI" w:hAnsi="Segoe UI" w:eastAsia="Microsoft YaHei"/>
            <w:b w:val="0"/>
            <w:color w:val="595959"/>
            <w:sz w:val="21"/>
          </w:rPr>
          <w:t>8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4" w:history="1">
        <w:r>
          <w:rPr>
            <w:rFonts w:ascii="Segoe UI" w:hAnsi="Segoe UI" w:eastAsia="Microsoft YaHei"/>
            <w:b w:val="0"/>
            <w:color w:val="595959"/>
            <w:sz w:val="21"/>
          </w:rPr>
          <w:t>四、2029 年目标、差距与重点工作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4 \h">
        <w:r>
          <w:rPr>
            <w:rFonts w:ascii="Segoe UI" w:hAnsi="Segoe UI" w:eastAsia="Microsoft YaHei"/>
            <w:b w:val="0"/>
            <w:color w:val="595959"/>
            <w:sz w:val="21"/>
          </w:rPr>
          <w:t>11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5" w:history="1">
        <w:r>
          <w:rPr>
            <w:rFonts w:ascii="Segoe UI" w:hAnsi="Segoe UI" w:eastAsia="Microsoft YaHei"/>
            <w:b w:val="0"/>
            <w:color w:val="595959"/>
            <w:sz w:val="21"/>
          </w:rPr>
          <w:t>五、工作分工与需协调事项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5 \h">
        <w:r>
          <w:rPr>
            <w:rFonts w:ascii="Segoe UI" w:hAnsi="Segoe UI" w:eastAsia="Microsoft YaHei"/>
            <w:b w:val="0"/>
            <w:color w:val="595959"/>
            <w:sz w:val="21"/>
          </w:rPr>
          <w:t>14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6" w:history="1">
        <w:r>
          <w:rPr>
            <w:rFonts w:ascii="Segoe UI" w:hAnsi="Segoe UI" w:eastAsia="Microsoft YaHei"/>
            <w:b w:val="0"/>
            <w:color w:val="595959"/>
            <w:sz w:val="21"/>
          </w:rPr>
          <w:t>六、萌想科技的价值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6 \h">
        <w:r>
          <w:rPr>
            <w:rFonts w:ascii="Segoe UI" w:hAnsi="Segoe UI" w:eastAsia="Microsoft YaHei"/>
            <w:b w:val="0"/>
            <w:color w:val="595959"/>
            <w:sz w:val="21"/>
          </w:rPr>
          <w:t>15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chap_7" w:history="1">
        <w:r>
          <w:rPr>
            <w:rFonts w:ascii="Segoe UI" w:hAnsi="Segoe UI" w:eastAsia="Microsoft YaHei"/>
            <w:b w:val="0"/>
            <w:color w:val="595959"/>
            <w:sz w:val="21"/>
          </w:rPr>
          <w:t>七、数据来源与有关说明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chap_7 \h">
        <w:r>
          <w:rPr>
            <w:rFonts w:ascii="Segoe UI" w:hAnsi="Segoe UI" w:eastAsia="Microsoft YaHei"/>
            <w:b w:val="0"/>
            <w:color w:val="595959"/>
            <w:sz w:val="21"/>
          </w:rPr>
          <w:t>16</w:t>
        </w:r>
      </w:fldSimple>
    </w:p>
    <w:p>
      <w:pPr>
        <w:tabs>
          <w:tab w:pos="9411" w:val="right" w:leader="dot"/>
        </w:tabs>
        <w:spacing w:after="120" w:before="0" w:line="340" w:lineRule="exact"/>
      </w:pPr>
      <w:hyperlink w:anchor="appendix" w:history="1">
        <w:r>
          <w:rPr>
            <w:rFonts w:ascii="Segoe UI" w:hAnsi="Segoe UI" w:eastAsia="Microsoft YaHei"/>
            <w:b w:val="0"/>
            <w:color w:val="595959"/>
            <w:sz w:val="21"/>
          </w:rPr>
          <w:t>附录</w:t>
        </w:r>
      </w:hyperlink>
      <w:r>
        <w:rPr>
          <w:rFonts w:ascii="Segoe UI" w:hAnsi="Segoe UI" w:eastAsia="Microsoft YaHei"/>
          <w:b w:val="0"/>
          <w:color w:val="595959"/>
          <w:sz w:val="21"/>
        </w:rPr>
        <w:tab/>
      </w:r>
      <w:fldSimple w:instr="PAGEREF appendix \h">
        <w:r>
          <w:rPr>
            <w:rFonts w:ascii="Segoe UI" w:hAnsi="Segoe UI" w:eastAsia="Microsoft YaHei"/>
            <w:b w:val="0"/>
            <w:color w:val="595959"/>
            <w:sz w:val="21"/>
          </w:rPr>
          <w:t>17</w:t>
        </w:r>
      </w:fldSimple>
    </w:p>
    <w:p>
      <w:pPr>
        <w:pStyle w:val="Heading1"/>
        <w:pageBreakBefore/>
      </w:pPr>
      <w:bookmarkStart w:id="101" w:name="chap_1"/>
      <w:r>
        <w:t>一、基本情况与总体判断</w:t>
      </w:r>
      <w:bookmarkEnd w:id="101"/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预计可达 188.3~191.2 分，距平均涨幅线尚差约 2.4~5.3 分；本年着力点在逐项核对与半可控事项，缺口如实保留、逐年复测滚动调整。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基本情况：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哈尔滨理工大学 2026 年官方公布总分 185.0 分、第 214 名。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测算基线：</w:t>
      </w:r>
      <w:r>
        <w:rPr>
          <w:rFonts w:ascii="Segoe UI" w:hAnsi="Segoe UI" w:eastAsia="Microsoft YaHei"/>
          <w:b w:val="0"/>
          <w:color w:val="262626"/>
          <w:sz w:val="22"/>
        </w:rPr>
        <w:t>185.9 分（按官方计分规则逐项测算），与官方公布值相差 0.9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差异处理：</w:t>
      </w:r>
      <w:r>
        <w:rPr>
          <w:rFonts w:ascii="Segoe UI" w:hAnsi="Segoe UI" w:eastAsia="Microsoft YaHei"/>
          <w:b w:val="0"/>
          <w:color w:val="262626"/>
          <w:sz w:val="22"/>
        </w:rPr>
        <w:t>差异原因待逐项核对后说明。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目标任务：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年目标为 188.3 分，由 5 项已逐项核查的事项计入增分 2.44 分，自基线起算。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名次测算：</w:t>
      </w:r>
      <w:r>
        <w:rPr>
          <w:rFonts w:ascii="Segoe UI" w:hAnsi="Segoe UI" w:eastAsia="Microsoft YaHei"/>
          <w:b w:val="0"/>
          <w:color w:val="262626"/>
          <w:sz w:val="22"/>
        </w:rPr>
        <w:t>按 2026 年官方分数分布测算约为第 210 名，仅供参考。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第 210 名分数线随同类学校整体进步逐年上移，2027 年预计为 193.6~195.5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本校预期：</w:t>
      </w:r>
      <w:r>
        <w:rPr>
          <w:rFonts w:ascii="Segoe UI" w:hAnsi="Segoe UI" w:eastAsia="Microsoft YaHei"/>
          <w:b w:val="0"/>
          <w:color w:val="262626"/>
          <w:sz w:val="22"/>
        </w:rPr>
        <w:t>可达 188.3~191.2 分，与分数线下限尚差约 2.4~5.3 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主要措施：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弥补差距共三项：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9411"/>
      </w:tblGrid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一是纳入目标的事项先行落实</w:t>
            </w:r>
          </w:p>
        </w:tc>
      </w:tr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二是备选事项逐项核查后据实计入</w:t>
            </w:r>
          </w:p>
        </w:tc>
      </w:tr>
      <w:tr>
        <w:trPr>
          <w:cantSplit/>
        </w:trPr>
        <w:tc>
          <w:tcPr>
            <w:tcW w:type="dxa" w:w="941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三是毕业生去向落实率先行核对、保持不出现回落</w:t>
            </w:r>
          </w:p>
        </w:tc>
      </w:tr>
    </w:tbl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长线安排：</w:t>
      </w:r>
      <w:r>
        <w:rPr>
          <w:rFonts w:ascii="Segoe UI" w:hAnsi="Segoe UI" w:eastAsia="Microsoft YaHei"/>
          <w:b w:val="0"/>
          <w:color w:val="262626"/>
          <w:sz w:val="22"/>
        </w:rPr>
        <w:t>以抓好正式报告编制与数据统筹为先导。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下一步工作：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先行开展一轮逐项核对。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部门配合：</w:t>
      </w:r>
      <w:r>
        <w:rPr>
          <w:rFonts w:ascii="Segoe UI" w:hAnsi="Segoe UI" w:eastAsia="Microsoft YaHei"/>
          <w:b w:val="0"/>
          <w:color w:val="262626"/>
          <w:sz w:val="22"/>
        </w:rPr>
        <w:t>提供现有台账与报告底稿即可，无需另行填报或统计。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产出：</w:t>
      </w:r>
      <w:r>
        <w:rPr>
          <w:rFonts w:ascii="Segoe UI" w:hAnsi="Segoe UI" w:eastAsia="Microsoft YaHei"/>
          <w:b w:val="0"/>
          <w:color w:val="262626"/>
          <w:sz w:val="22"/>
        </w:rPr>
        <w:t>核对后形成学校核对版方案。</w:t>
      </w:r>
    </w:p>
    <w:p>
      <w:pPr>
        <w:pStyle w:val="Heading2"/>
      </w:pPr>
      <w:r>
        <w:t>两条工作主线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两条主线：近期，把已经形成、但未被正确记录的价值经核对后计入；后续，由真实建设逐年累积。各年事项均按此归类。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2 · 两条工作主线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4876"/>
        <w:gridCol w:w="2721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主线</w:t>
            </w:r>
          </w:p>
        </w:tc>
        <w:tc>
          <w:tcPr>
            <w:tcW w:type="dxa" w:w="487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做法</w:t>
            </w:r>
          </w:p>
        </w:tc>
        <w:tc>
          <w:tcPr>
            <w:tcW w:type="dxa" w:w="272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形成方式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近期（本版至下一版）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逐项核查与报告、统计校正：以学校实际数据逐项核对，未被正确记录的分值经核对后计入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当期形成，计入最近一版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后续（逐年推进）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教学、科研、师资、人才能力建设：排课、评审、招生、经费等真实增量按年度推进</w:t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逐年累积，作用于后续版本</w:t>
            </w:r>
          </w:p>
        </w:tc>
      </w:tr>
    </w:tbl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分节方式：第二节至第四节按年度列示，顺序与专题页面一致。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基线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185.9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 ＋ 纳入目标增分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2.44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 xml:space="preserve"> ＝ 目标 </w:t>
            </w: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188.3 分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；预期可达 188.3~191.2 分，尚差约 2.4~5.3 分。</w:t>
            </w:r>
          </w:p>
        </w:tc>
      </w:tr>
    </w:tbl>
    <w:p>
      <w:pPr>
        <w:pStyle w:val="Heading1"/>
        <w:pageBreakBefore/>
      </w:pPr>
      <w:bookmarkStart w:id="102" w:name="chap_2"/>
      <w:r>
        <w:t>二、2027 年目标、差距与重点工作</w:t>
      </w:r>
      <w:bookmarkEnd w:id="102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年目标为第 210 名、188.3 分（基线 185.9 分＋计入 2.44 分）。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分数线：</w:t>
      </w:r>
      <w:r>
        <w:rPr>
          <w:rFonts w:ascii="Segoe UI" w:hAnsi="Segoe UI" w:eastAsia="Microsoft YaHei"/>
          <w:b w:val="0"/>
          <w:color w:val="262626"/>
          <w:sz w:val="22"/>
        </w:rPr>
        <w:t>随同行整体进步上移：按近 5 年平均涨幅推算约 193.6 分、按近 3 年偏高涨幅约 195.5 分，区间上沿约 195.5 分。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平均涨幅线：</w:t>
      </w:r>
      <w:r>
        <w:rPr>
          <w:rFonts w:ascii="Segoe UI" w:hAnsi="Segoe UI" w:eastAsia="Microsoft YaHei"/>
          <w:b w:val="0"/>
          <w:color w:val="262626"/>
          <w:sz w:val="20"/>
        </w:rPr>
        <w:t>即分数线区间下限。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预计可达自模型基线起算，逐环构成见下表。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基线差：</w:t>
      </w:r>
      <w:r>
        <w:rPr>
          <w:rFonts w:ascii="Segoe UI" w:hAnsi="Segoe UI" w:eastAsia="Microsoft YaHei"/>
          <w:b w:val="0"/>
          <w:color w:val="262626"/>
          <w:sz w:val="20"/>
        </w:rPr>
        <w:t>官方公布总分 185.0 分与模型基线相差 0.9 分，待逐项核对后说明，不计入任何增分。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3 · 2027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测算基线（按官方计分规则逐项测算）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185.9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自然增长（估算，不采取新措施时随既有发展态势的变化）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+0~+0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逐项核查计入（纳入目标五项）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+2.44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备选事项（上限口径，逐项核查后据实计入）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+2.92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2027 年预计可达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188.3~191.2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预计可达尚未进入分数线区间，上限距区间下限还差约 2.4 分、下限还差约 5.3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2.4~5.3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纳入目标五项、计入 2.44 分；进带尚差 5.3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备选补差：</w:t>
      </w:r>
      <w:r>
        <w:rPr>
          <w:rFonts w:ascii="Segoe UI" w:hAnsi="Segoe UI" w:eastAsia="Microsoft YaHei"/>
          <w:b w:val="0"/>
          <w:color w:val="262626"/>
          <w:sz w:val="22"/>
        </w:rPr>
        <w:t>备选事项九项、上限合计 +28.04 分，逐项核查后据实计入，可补足尚差。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下表：</w:t>
      </w:r>
      <w:r>
        <w:rPr>
          <w:rFonts w:ascii="Segoe UI" w:hAnsi="Segoe UI" w:eastAsia="Microsoft YaHei"/>
          <w:b w:val="0"/>
          <w:color w:val="262626"/>
          <w:sz w:val="22"/>
        </w:rPr>
        <w:t>十四项逐项列示，纳入目标项与备选事项分开，核对状态见附录 A2。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4 · 2027 年逐项核查十四项：纳入目标项与备选事项（单位：分）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928"/>
        <w:gridCol w:w="1304"/>
        <w:gridCol w:w="1191"/>
        <w:gridCol w:w="1134"/>
        <w:gridCol w:w="3855"/>
      </w:tblGrid>
      <w:tr>
        <w:trPr>
          <w:tblHeader w:val="true"/>
          <w:cantSplit/>
        </w:trPr>
        <w:tc>
          <w:tcPr>
            <w:tcW w:type="dxa" w:w="19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30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现状值</w:t>
            </w:r>
          </w:p>
        </w:tc>
        <w:tc>
          <w:tcPr>
            <w:tcW w:type="dxa" w:w="119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计入目标（分）</w:t>
            </w:r>
          </w:p>
        </w:tc>
        <w:tc>
          <w:tcPr>
            <w:tcW w:type="dxa" w:w="113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  <w:tc>
          <w:tcPr>
            <w:tcW w:type="dxa" w:w="385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主要措施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3.44 万元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+0.51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财务决算核对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12.39%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+0.53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导出核查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0.0510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+0.43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人事教务台账核对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89.94%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+0.54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教务台账核对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0.956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+0.43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导出核查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纳入目标小计（五项）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+2.44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本组计入合计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本科生增值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36.16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只观察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0.0038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获奖名单归集核对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升学名单归集核对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生源质量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46.46 分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只观察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121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获奖名单归集核对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86.70%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双记录归集核对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学校收入（总额）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11.07 亿元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财务决算核对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留学生比例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0.24%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在册名册核对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社会捐赠收入（总额）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127.6 万元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  <w:tc>
          <w:tcPr>
            <w:tcW w:type="dxa" w:w="385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全校归集核对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备选事项小计（九项）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本组未计入，上限 +28.04 分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十四项合计</w:t>
            </w:r>
          </w:p>
        </w:tc>
        <w:tc>
          <w:tcPr>
            <w:tcW w:type="dxa" w:w="130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191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+2.44</w:t>
            </w:r>
          </w:p>
        </w:tc>
        <w:tc>
          <w:tcPr>
            <w:tcW w:type="dxa" w:w="1134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385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纳入目标五项合计 +2.44 分、目标 188.3 分；备选事项上限 +28.04 分；十四项测算上限 216.4 分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注：计入为测算构成，核验后定值；核对状态与附录 A2 一致。</w:t>
      </w:r>
    </w:p>
    <w:p>
      <w:pPr>
        <w:pStyle w:val="Heading2"/>
      </w:pPr>
      <w:r>
        <w:t>自然增长情况（不计入目标，计入预期测算）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自然增长：</w:t>
      </w:r>
      <w:r>
        <w:rPr>
          <w:rFonts w:ascii="Segoe UI" w:hAnsi="Segoe UI" w:eastAsia="Microsoft YaHei"/>
          <w:b w:val="0"/>
          <w:color w:val="262626"/>
          <w:sz w:val="22"/>
        </w:rPr>
        <w:t>不采取新的专项措施时，随学校既有发展态势带来的分数变化。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估算：</w:t>
      </w:r>
      <w:r>
        <w:rPr>
          <w:rFonts w:ascii="Segoe UI" w:hAnsi="Segoe UI" w:eastAsia="Microsoft YaHei"/>
          <w:b w:val="0"/>
          <w:color w:val="262626"/>
          <w:sz w:val="22"/>
        </w:rPr>
        <w:t>2027 版 +0~+0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只计入预期测算、不计入目标，目标与预期分开列示。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估算依据（基年公开数据）：</w:t>
      </w:r>
      <w:r>
        <w:rPr>
          <w:rFonts w:ascii="Segoe UI" w:hAnsi="Segoe UI" w:eastAsia="Microsoft YaHei"/>
          <w:b w:val="0"/>
          <w:color w:val="262626"/>
          <w:sz w:val="22"/>
        </w:rPr>
        <w:t>以本校公开信息（官网与信息公开网）逐项核定：论文、项目、研究生规模等动量未见可单独计量的增长核查材料，本版核定为 0、不以估算凑数，后续出现可核定核查材料后另行计入并同步更新本页。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复核：</w:t>
      </w:r>
      <w:r>
        <w:rPr>
          <w:rFonts w:ascii="Segoe UI" w:hAnsi="Segoe UI" w:eastAsia="Microsoft YaHei"/>
          <w:b w:val="0"/>
          <w:color w:val="262626"/>
          <w:sz w:val="22"/>
        </w:rPr>
        <w:t>每年新版发布前，以新的公开数据滚动复核。</w:t>
      </w:r>
    </w:p>
    <w:p>
      <w:pPr>
        <w:pStyle w:val="Heading2"/>
      </w:pPr>
      <w:r>
        <w:t>需先行核对事项：毕业生去向落实率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本科毕业生毕业去向落实率现值 86.70%（平台记录），本项列为备选事项，先取得近届就业质量报告原文与年终口径台账核对定值。可能影响分值待核对后确定，不预先扣除，不计入本简报任何合计。</w:t>
      </w:r>
    </w:p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数据来源：</w:t>
      </w:r>
      <w:r>
        <w:rPr>
          <w:rFonts w:ascii="Segoe UI" w:hAnsi="Segoe UI" w:eastAsia="Microsoft YaHei"/>
          <w:b w:val="0"/>
          <w:color w:val="262626"/>
          <w:sz w:val="22"/>
        </w:rPr>
        <w:t>学校正式报告与法定统计是多项指标的数据来源。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口径规则：</w:t>
      </w:r>
      <w:r>
        <w:rPr>
          <w:rFonts w:ascii="Segoe UI" w:hAnsi="Segoe UI" w:eastAsia="Microsoft YaHei"/>
          <w:b w:val="0"/>
          <w:color w:val="262626"/>
          <w:sz w:val="22"/>
        </w:rPr>
        <w:t>编制期先行评审、写进正式文本，发布后即为各方共同依据。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缺失处理：</w:t>
      </w:r>
      <w:r>
        <w:rPr>
          <w:rFonts w:ascii="Segoe UI" w:hAnsi="Segoe UI" w:eastAsia="Microsoft YaHei"/>
          <w:b w:val="0"/>
          <w:color w:val="262626"/>
          <w:sz w:val="22"/>
        </w:rPr>
        <w:t>软科方法页规则：缺失时依次采用旧版数据，再缺失按同类同省学校最小值替代。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结论：</w:t>
      </w:r>
      <w:r>
        <w:rPr>
          <w:rFonts w:ascii="Segoe UI" w:hAnsi="Segoe UI" w:eastAsia="Microsoft YaHei"/>
          <w:b w:val="0"/>
          <w:color w:val="262626"/>
          <w:sz w:val="22"/>
        </w:rPr>
        <w:t>报告按时、按统一口径发布，本身就是保持分数稳定的前提。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本版状态：</w:t>
      </w:r>
      <w:r>
        <w:rPr>
          <w:rFonts w:ascii="Segoe UI" w:hAnsi="Segoe UI" w:eastAsia="Microsoft YaHei"/>
          <w:b w:val="0"/>
          <w:color w:val="262626"/>
          <w:sz w:val="22"/>
        </w:rPr>
        <w:t>本版（2027）涉及的报告与统计均已发布，下表为对已发布数的核对确认。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下一版起：</w:t>
      </w:r>
      <w:r>
        <w:rPr>
          <w:rFonts w:ascii="Segoe UI" w:hAnsi="Segoe UI" w:eastAsia="Microsoft YaHei"/>
          <w:b w:val="0"/>
          <w:color w:val="262626"/>
          <w:sz w:val="22"/>
        </w:rPr>
        <w:t>正式报告编制转入编制期统筹，逐年规划见第三、四节报告规划表。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5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1871"/>
        <w:gridCol w:w="2268"/>
        <w:gridCol w:w="3458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报告与统计</w:t>
            </w:r>
          </w:p>
        </w:tc>
        <w:tc>
          <w:tcPr>
            <w:tcW w:type="dxa" w:w="187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涉及指标</w:t>
            </w:r>
          </w:p>
        </w:tc>
        <w:tc>
          <w:tcPr>
            <w:tcW w:type="dxa" w:w="226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责任部门</w:t>
            </w:r>
          </w:p>
        </w:tc>
        <w:tc>
          <w:tcPr>
            <w:tcW w:type="dxa" w:w="345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授课教授比例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教务处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信息公开网设有该栏目；近两年原文未在公开渠道取到，已列入索取清单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学校收入（生均）、学校收入（总额）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财务处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学校级决算原文未在公开渠道定位，待财务处提供后核对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就业质量报告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发展规划处（统筹）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2021 届可见、2022 届以后未找到公开原文，现值待双记录核对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教育事业统计（高基表）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国际合作论文比例、国际期刊论文质量等 8 项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发展规划处（统筹） · 团委 · 创新创业学院 · 国际交流合作处 · 教务处 · 科学技术处</w:t>
            </w:r>
          </w:p>
        </w:tc>
        <w:tc>
          <w:tcPr>
            <w:tcW w:type="dxa" w:w="345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不公开；师生比与学历结构以人事、教务台账核对为准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备选事项 4 项（研本比（研究生与本科生人数之比）、国际期刊论文（师均）、国际期刊论文（总数）、论文被引总次数），待学校底稿核对后确定，估算 +3.17~+9.66 分，不计入合计。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+5.3 分（未计入预计可达，已选定）。补差来源（按可实现性分档）：学校可控与半可控事项已优先纳入计入五项与备选事项；需追加来源为研本比（同类前 10% 档空间 +5.91 分），涉及研究生结构、只作理论空间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计入五项全部落实仍差约 2.4~5.3 分（对平均涨幅线 193.6 分）；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差距如实保留、不调低目标，逐年复测滚动调整；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条件项教师学历结构核定为口径找回时并入目标，差距相应收窄；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需追加来源只作理论空间、未作达线依据。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本年为三年首年，无以前年度已确定分值结转；本年计入分值自下一年度起列入存量保持。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后续主线在本年同步启动、不计入本年。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落实安排：</w:t>
      </w:r>
      <w:r>
        <w:rPr>
          <w:rFonts w:ascii="Segoe UI" w:hAnsi="Segoe UI" w:eastAsia="Microsoft YaHei"/>
          <w:b w:val="0"/>
          <w:color w:val="262626"/>
          <w:sz w:val="22"/>
        </w:rPr>
        <w:t>各项长期建设随 2028、2029 年安排逐年落实，增量作用于后续版本。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2027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188.3~191.2 分；距分数线区间下限尚差约 2.4~5.3 分，备选事项上限 +28.04 分，可补足尚差。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3" w:name="chap_3"/>
      <w:r>
        <w:t>三、2028 年目标、差距与重点工作</w:t>
      </w:r>
      <w:bookmarkEnd w:id="103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2028 年目标为约第 210 名（按 2026 年官方分数分布测算）、188.7 分，自基线累计计入 +3.72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平均涨幅线约 199.3 分、偏高涨幅线约 203.1 分、上沿约 203.1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上年预计可达结转，本年计入 +1.28 分（逐项见附录 A2），见下表。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2028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2027 年预计可达（结转）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188.3~191.2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自然增长（估算）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+0~+0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经正式报告与统计确定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+1.28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其余行动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2028 年预计可达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189.6~192.5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另：保持 2027 年已确定（不计入本年）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+1.48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预计可达下限 189.6 分已高于目标 188.7 分（按 2026 年官方分数分布测算），按测算可达到该目标。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6.8~9.7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逐项核查与报告、统计校正类共 +1.28 分，其中经正式报告与统计在编制期确定的 +1.28 分，逐项见报告规划表。</w:t>
      </w:r>
    </w:p>
    <w:p>
      <w:pPr>
        <w:spacing w:after="100" w:before="100" w:line="320" w:lineRule="exact"/>
      </w:pPr>
      <w:r>
        <w:rPr>
          <w:rFonts w:ascii="Segoe UI" w:hAnsi="Segoe UI" w:eastAsia="Microsoft YaHei"/>
          <w:b w:val="0"/>
          <w:color w:val="262626"/>
          <w:sz w:val="19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7427"/>
        <w:gridCol w:w="1984"/>
      </w:tblGrid>
      <w:tr>
        <w:trPr>
          <w:tblHeader w:val="true"/>
          <w:cantSplit/>
        </w:trPr>
        <w:tc>
          <w:tcPr>
            <w:tcW w:type="dxa" w:w="742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事项</w:t>
            </w:r>
          </w:p>
        </w:tc>
        <w:tc>
          <w:tcPr>
            <w:tcW w:type="dxa" w:w="198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计入（分）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+1.28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本组小计（5 项）</w:t>
            </w:r>
          </w:p>
        </w:tc>
        <w:tc>
          <w:tcPr>
            <w:tcW w:type="dxa" w:w="1984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+1.28</w:t>
            </w:r>
          </w:p>
        </w:tc>
      </w:tr>
    </w:tbl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报告规划：</w:t>
      </w:r>
      <w:r>
        <w:rPr>
          <w:rFonts w:ascii="Segoe UI" w:hAnsi="Segoe UI" w:eastAsia="Microsoft YaHei"/>
          <w:b w:val="0"/>
          <w:color w:val="262626"/>
          <w:sz w:val="22"/>
        </w:rPr>
        <w:t>2028 年正式报告与统计在编制期按下表规划：已确定事项以保持为主，新增事项在本年编制期定值。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各组分数只计一次：本年新增 +1.28 分已含在上方构成内。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2028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041"/>
        <w:gridCol w:w="476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476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主要安排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毕业生就业质量报告 · 每年 11–12 月编制 · 12 月 31 日前发布 · 学生工作部 · 就业指导中心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86.7%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本组小计：本年计入 +1.28 分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本科教学质量报告 · 学年报告 · 按本校往年节奏，编制期介入 · 教务处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89.94%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 项 · 守住现值：教授授课率 12.86%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49.06%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师生比（2027 年已计入 +0.43 · 本年保持）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0.051（保持）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9 项 · 守住现值：教师职称结构 52.22%；教师规模 1,641；研本比 0.1797；本专比 1；留学生比例 0.24%；硕士点数 35；博士点数 8；国家级与认证专业（总数） 173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国家级与认证专业精度 2.582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部门决算与财务公开 · 6 月编制对口径 · 8 月公开 · 科学技术处 · 财务处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3.443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4 项 · 守住现值：学校收入（总额） 11.07；科研经费（总额） 1.835；科研经费（师均） 11.18；科研人员规模（折合数） 4,241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基金会年报与捐赠入账记录 · 随年度审计发布 · 校友工作部 · 教育发展基金会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 项 · 守住现值：社会捐赠收入（总额） 127.6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平台与专业认定名单归集 · 随主管部门公布滚动更新 · 科学技术处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守住现值：科研平台（折合数） 160；科研平台（师均折合数） 0.0955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本年无单独列示的备选与观察类事项，逐项归类见本节构成与附录 A2。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+9.7 分（未计入预计可达，已选定）。补差来源（按可实现性分档）：备选事项头号落实率已转入计入；需追加来源为研本比与国家重大奖励（师均折合数）（空间合计 +9.84 分），多属外部依赖、只作理论空间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本年计入后全部落实仍差约 6.8~9.7 分（对平均涨幅线 199.3 分）；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差距如实保留，逐年复测滚动调整；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学历结构核定结论若为建设增量，按年批次推进、不预支预计提升；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需追加来源只作理论空间、未作达线依据。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2027 年已确定的 +1.48 分，保持不回落（存量保持）。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深造率按年定目标（本年 约 22%，只定目标、不计入），长期参照同类前 10% 54.0%（+8.91 分），五年维度看。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2028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189.6~192.5 分；对平均涨幅线还差约 6.8~9.7 分；需追加的提升 +9.7 分，来源与口径见本节，达线与否逐年复测。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4" w:name="chap_4"/>
      <w:r>
        <w:t>四、2029 年目标、差距与重点工作</w:t>
      </w:r>
      <w:bookmarkEnd w:id="104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目标：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2029 年目标为约第 210 名（按 2026 年官方分数分布测算）、188.7 分，自基线累计计入 +3.72 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平均涨幅线约 204.6 分、偏高涨幅线约 210.3 分、上沿约 210.3 分。</w:t>
      </w:r>
    </w:p>
    <w:p>
      <w:pPr>
        <w:spacing w:after="100" w:before="0" w:line="300" w:lineRule="exact"/>
        <w:ind w:left="440" w:hanging="220"/>
      </w:pPr>
      <w:r>
        <w:rPr>
          <w:rFonts w:ascii="Segoe UI" w:hAnsi="Segoe UI" w:eastAsia="Microsoft YaHei"/>
          <w:b w:val="0"/>
          <w:color w:val="262626"/>
          <w:sz w:val="20"/>
        </w:rPr>
        <w:t xml:space="preserve">• </w:t>
      </w:r>
      <w:r>
        <w:rPr>
          <w:rFonts w:ascii="Segoe UI" w:hAnsi="Segoe UI" w:eastAsia="Microsoft YaHei"/>
          <w:b/>
          <w:color w:val="262626"/>
          <w:sz w:val="20"/>
        </w:rPr>
        <w:t>提示：</w:t>
      </w:r>
      <w:r>
        <w:rPr>
          <w:rFonts w:ascii="Segoe UI" w:hAnsi="Segoe UI" w:eastAsia="Microsoft YaHei"/>
          <w:b w:val="0"/>
          <w:color w:val="262626"/>
          <w:sz w:val="20"/>
        </w:rPr>
        <w:t>涨幅线逐年外推，测算年份越远、不确定性越大，本年数字仅作规划参照。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构成：</w:t>
      </w:r>
      <w:r>
        <w:rPr>
          <w:rFonts w:ascii="Segoe UI" w:hAnsi="Segoe UI" w:eastAsia="Microsoft YaHei"/>
          <w:b w:val="0"/>
          <w:color w:val="262626"/>
          <w:sz w:val="22"/>
        </w:rPr>
        <w:t>上年预计可达结转，本年计入 +0.00 分（逐项见附录 A2），见下表。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2029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6746"/>
        <w:gridCol w:w="2665"/>
      </w:tblGrid>
      <w:tr>
        <w:trPr>
          <w:tblHeader w:val="true"/>
          <w:cantSplit/>
        </w:trPr>
        <w:tc>
          <w:tcPr>
            <w:tcW w:type="dxa" w:w="674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环节</w:t>
            </w:r>
          </w:p>
        </w:tc>
        <w:tc>
          <w:tcPr>
            <w:tcW w:type="dxa" w:w="266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分值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2028 年预计可达（结转）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189.6~192.5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自然增长（外推估算，置信度低于前两年）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+0~+0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本年计入 · 行动事项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674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2029 年预计可达</w:t>
            </w:r>
          </w:p>
        </w:tc>
        <w:tc>
          <w:tcPr>
            <w:tcW w:type="dxa" w:w="2665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189.6~192.5</w:t>
            </w:r>
          </w:p>
        </w:tc>
      </w:tr>
      <w:tr>
        <w:trPr>
          <w:cantSplit/>
        </w:trPr>
        <w:tc>
          <w:tcPr>
            <w:tcW w:type="dxa" w:w="6746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另：保持 2028 年已确定（不计入本年）</w:t>
            </w:r>
          </w:p>
        </w:tc>
        <w:tc>
          <w:tcPr>
            <w:tcW w:type="dxa" w:w="2665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+1.28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差距：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两个差距分开看。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与目标的差距：</w:t>
      </w:r>
      <w:r>
        <w:rPr>
          <w:rFonts w:ascii="Segoe UI" w:hAnsi="Segoe UI" w:eastAsia="Microsoft YaHei"/>
          <w:b w:val="0"/>
          <w:color w:val="262626"/>
          <w:sz w:val="22"/>
        </w:rPr>
        <w:t>预计可达下限 189.6 分已高于目标 188.7 分（按 2026 年官方分数分布测算），按测算可达到该目标。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与平均涨幅线的差距：</w:t>
      </w:r>
      <w:r>
        <w:rPr>
          <w:rFonts w:ascii="Segoe UI" w:hAnsi="Segoe UI" w:eastAsia="Microsoft YaHei"/>
          <w:b w:val="0"/>
          <w:color w:val="262626"/>
          <w:sz w:val="22"/>
        </w:rPr>
        <w:t>还差约 12.1~15.0 分；不调低目标，转为下一环节需追加的提升。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补差路径（近期主线）：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逐项核查与报告、统计校正类共 +0.00 分，其中经正式报告与统计在编制期确定的 +0.00 分，逐项见报告规划表。</w:t>
      </w:r>
    </w:p>
    <w:p>
      <w:pPr>
        <w:spacing w:after="100" w:before="100" w:line="320" w:lineRule="exact"/>
      </w:pPr>
      <w:r>
        <w:rPr>
          <w:rFonts w:ascii="Segoe UI" w:hAnsi="Segoe UI" w:eastAsia="Microsoft YaHei"/>
          <w:b w:val="0"/>
          <w:color w:val="262626"/>
          <w:sz w:val="19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7427"/>
        <w:gridCol w:w="1984"/>
      </w:tblGrid>
      <w:tr>
        <w:trPr>
          <w:tblHeader w:val="true"/>
          <w:cantSplit/>
        </w:trPr>
        <w:tc>
          <w:tcPr>
            <w:tcW w:type="dxa" w:w="742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事项</w:t>
            </w:r>
          </w:p>
        </w:tc>
        <w:tc>
          <w:tcPr>
            <w:tcW w:type="dxa" w:w="198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计入（分）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98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+0.00</w:t>
            </w:r>
          </w:p>
        </w:tc>
      </w:tr>
      <w:tr>
        <w:trPr>
          <w:cantSplit/>
        </w:trPr>
        <w:tc>
          <w:tcPr>
            <w:tcW w:type="dxa" w:w="7427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本组小计（4 项）</w:t>
            </w:r>
          </w:p>
        </w:tc>
        <w:tc>
          <w:tcPr>
            <w:tcW w:type="dxa" w:w="1984"/>
            <w:shd w:val="clear" w:fill="FAF8F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+0.00</w:t>
            </w:r>
          </w:p>
        </w:tc>
      </w:tr>
    </w:tbl>
    <w:p>
      <w:pPr>
        <w:pStyle w:val="Heading2"/>
        <w:pBdr>
          <w:left w:val="single" w:sz="24" w:color="0D1A39" w:space="8"/>
        </w:pBdr>
      </w:pPr>
      <w:r>
        <w:rPr>
          <w:rFonts w:ascii="Georgia" w:hAnsi="Georgia" w:eastAsia="SimSun"/>
          <w:b/>
          <w:color w:val="262626"/>
          <w:sz w:val="26"/>
        </w:rPr>
        <w:t>抓好正式报告编制与数据统筹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报告规划：</w:t>
      </w:r>
      <w:r>
        <w:rPr>
          <w:rFonts w:ascii="Segoe UI" w:hAnsi="Segoe UI" w:eastAsia="Microsoft YaHei"/>
          <w:b w:val="0"/>
          <w:color w:val="262626"/>
          <w:sz w:val="22"/>
        </w:rPr>
        <w:t>2029 年正式报告与统计在编制期按下表规划：已确定事项以保持为主，新增事项在本年编制期定值。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各组分数只计一次：本年新增 +0.00 分已含在上方构成内。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· 2029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041"/>
        <w:gridCol w:w="476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476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主要安排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毕业生就业质量报告 · 每年 11–12 月编制 · 12 月 31 日前发布 · 学生工作部 · 就业指导中心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本科毕业生毕业去向落实率（2028 年已计入 +1.28 · 本年保持）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86.7%（保持）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本科教学质量报告 · 学年报告 · 按本校往年节奏，编制期介入 · 教务处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守住现值：授课教授比例 89.94%；教授授课率 12.86%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49.06%</w:t>
            </w:r>
          </w:p>
        </w:tc>
        <w:tc>
          <w:tcPr>
            <w:tcW w:type="dxa" w:w="476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按时完整发布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10 项 · 守住现值：教师职称结构 52.22%；教师规模 1,641；研本比 0.1797；本专比 1；师生比 0.051；留学生比例 0.24%；硕士点数 35；博士点数 8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国家级与认证专业（总数） 173；国家级与认证专业精度 2.582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部门决算与财务公开 · 6 月编制对口径 · 8 月公开 · 科学技术处 · 财务处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5 项 · 守住现值：学校收入（总额） 11.07；学校收入（生均） 3.443；科研经费（总额） 1.835；科研经费（师均） 11.18；科研人员规模（折合数） 4,241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基金会年报与捐赠入账记录 · 随年度审计发布 · 校友工作部 · 教育发展基金会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1 项 · 守住现值：社会捐赠收入（总额） 127.6</w:t>
            </w:r>
          </w:p>
        </w:tc>
      </w:tr>
      <w:tr>
        <w:trPr>
          <w:cantSplit/>
        </w:trPr>
        <w:tc>
          <w:tcPr>
            <w:tcW w:type="dxa" w:w="4762"/>
            <w:gridSpan w:val="3"/>
            <w:shd w:val="clear" w:fill="EDF1F5"/>
            <w:vAlign w:val="center"/>
          </w:tcPr>
          <w:p>
            <w:pPr>
              <w:keepNext/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平台与专业认定名单归集 · 随主管部门公布滚动更新 · 科学技术处</w:t>
            </w:r>
          </w:p>
        </w:tc>
      </w:tr>
      <w:tr>
        <w:trPr>
          <w:cantSplit/>
        </w:trPr>
        <w:tc>
          <w:tcPr>
            <w:tcW w:type="dxa" w:w="4762"/>
            <w:gridSpan w:val="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另 2 项 · 守住现值：科研平台（折合数） 160；科研平台（师均折合数） 0.0955</w:t>
            </w:r>
          </w:p>
        </w:tc>
      </w:tr>
    </w:tbl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备选与观察：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本年无单独列示的备选与观察类事项，逐项归类见本节构成与附录 A2。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缺口与追加：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需追加的提升：拟追加 +15.0 分（未计入预计可达，方向性安排，名单随每年新数据滚动调整）。补差来源（按可实现性分档）：三年方向为第 181 名，与测算锚分开标明；需追加来源多属外部依赖、只作理论空间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全部落实仍差约 12.1~15.0 分（对平均涨幅线 204.6 分）；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三年方向第 181 名（200.5 分）低于平均涨幅线，达成还需建设类指标超额计入；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需追加来源空间合计 +17.64 分，为按同类学校前 10% 水平测算的理论空间，不作为达线依据；</w:t>
      </w:r>
    </w:p>
    <w:p>
      <w:pPr>
        <w:spacing w:after="120" w:before="0" w:line="320" w:lineRule="exact"/>
        <w:ind w:left="220"/>
      </w:pPr>
      <w:r>
        <w:rPr>
          <w:rFonts w:ascii="Segoe UI" w:hAnsi="Segoe UI" w:eastAsia="Microsoft YaHei"/>
          <w:b w:val="0"/>
          <w:color w:val="262626"/>
          <w:sz w:val="22"/>
        </w:rPr>
        <w:t>三年路径逐年复测、按实测结果滚动调整，未纳入目标的空间只作理论空间、未作达线依据。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存量保持：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2028 年已确定的 +1.28 分，保持不回落（存量保持）。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长期事项：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深造率按年定目标（本年 约 25%，只定目标、不计入），长期参照同类前 10% 54.0%（+8.91 分），五年维度看。</w:t>
      </w:r>
    </w:p>
    <w:p>
      <w:pPr>
        <w:pStyle w:val="Heading2"/>
      </w:pPr>
      <w:r>
        <w:t>本节小结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2029 年：</w:t>
            </w:r>
            <w:r>
              <w:rPr>
                <w:rFonts w:ascii="Segoe UI" w:hAnsi="Segoe UI" w:eastAsia="Microsoft YaHei"/>
                <w:b w:val="0"/>
                <w:color w:val="0D1A39"/>
                <w:sz w:val="22"/>
              </w:rPr>
              <w:t>预计可达 189.6~192.5 分；对平均涨幅线还差约 12.1~15.0 分；需追加的提升 +15.0 分，来源与口径见本节，达线与否逐年复测。</w:t>
            </w:r>
          </w:p>
        </w:tc>
      </w:tr>
    </w:tbl>
    <w:p>
      <w:pPr>
        <w:spacing w:after="100" w:before="140" w:line="280" w:lineRule="exact"/>
      </w:pPr>
      <w:r>
        <w:rPr>
          <w:rFonts w:ascii="Segoe UI" w:hAnsi="Segoe UI" w:eastAsia="Microsoft YaHei"/>
          <w:b w:val="0"/>
          <w:color w:val="595959"/>
          <w:sz w:val="19"/>
        </w:rPr>
        <w:t>逐项责任部门见附录 A4，年度时间节点见附录 A5。</w:t>
      </w:r>
    </w:p>
    <w:p>
      <w:pPr>
        <w:pStyle w:val="Heading1"/>
        <w:pageBreakBefore/>
      </w:pPr>
      <w:bookmarkStart w:id="105" w:name="chap_5"/>
      <w:r>
        <w:t>五、工作分工与需协调事项</w:t>
      </w:r>
      <w:bookmarkEnd w:id="105"/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本节按部门列出需提供的现有材料，均为台账与报告底稿，无需另行填报或统计。口径由发展规划处统筹；先行自查列出差异后，再请各部门确认。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6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041"/>
        <w:gridCol w:w="3742"/>
        <w:gridCol w:w="3628"/>
      </w:tblGrid>
      <w:tr>
        <w:trPr>
          <w:tblHeader w:val="true"/>
          <w:cantSplit/>
        </w:trPr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部门</w:t>
            </w:r>
          </w:p>
        </w:tc>
        <w:tc>
          <w:tcPr>
            <w:tcW w:type="dxa" w:w="374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请提供材料</w:t>
            </w:r>
          </w:p>
        </w:tc>
        <w:tc>
          <w:tcPr>
            <w:tcW w:type="dxa" w:w="36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对应事项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发展规划处（统筹）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汇总协调，不另备材料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全校核对统筹；基线差异 0.9 分逐项归因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授课教授比例、本科生增值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科学技术处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国际合作论文比例、国际期刊论文质量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财务处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学校收入（生均）、学校收入（总额）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学生工作部 · 就业指导中心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本科毕业生深造率、本科毕业生毕业去向落实率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国际交流合作处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留学生比例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校友工作部 · 教育发展基金会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社会捐赠收入（总额）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团委 · 创新创业学院</w:t>
            </w:r>
          </w:p>
        </w:tc>
        <w:tc>
          <w:tcPr>
            <w:tcW w:type="dxa" w:w="374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对应事项的现有台账与报告底稿</w:t>
            </w:r>
          </w:p>
        </w:tc>
        <w:tc>
          <w:tcPr>
            <w:tcW w:type="dxa" w:w="36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科创竞赛奖（折合数）、科创竞赛奖（生均折合数）</w:t>
            </w:r>
          </w:p>
        </w:tc>
      </w:tr>
    </w:tbl>
    <w:p>
      <w:pPr>
        <w:pStyle w:val="Heading1"/>
        <w:pageBreakBefore/>
      </w:pPr>
      <w:bookmarkStart w:id="106" w:name="chap_6"/>
      <w:r>
        <w:t>六、萌想科技的价值</w:t>
      </w:r>
      <w:bookmarkEnd w:id="106"/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814"/>
        <w:gridCol w:w="7597"/>
      </w:tblGrid>
      <w:tr>
        <w:trPr>
          <w:tblHeader w:val="true"/>
          <w:cantSplit/>
        </w:trPr>
        <w:tc>
          <w:tcPr>
            <w:tcW w:type="dxa" w:w="181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软科数据库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学校各部门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萌想科技</w:t>
            </w:r>
          </w:p>
        </w:tc>
        <w:tc>
          <w:tcPr>
            <w:tcW w:type="dxa" w:w="759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after="100" w:before="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pStyle w:val="Heading1"/>
        <w:pageBreakBefore/>
      </w:pPr>
      <w:bookmarkStart w:id="107" w:name="chap_7"/>
      <w:r>
        <w:t>七、数据来源与有关说明</w:t>
      </w:r>
      <w:bookmarkEnd w:id="107"/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测算基线：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本简报全部增分只从模型基线 185.9 分起算，不与官方 185.0 分直接相加。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差异处理：</w:t>
      </w:r>
      <w:r>
        <w:rPr>
          <w:rFonts w:ascii="Segoe UI" w:hAnsi="Segoe UI" w:eastAsia="Microsoft YaHei"/>
          <w:b w:val="0"/>
          <w:color w:val="262626"/>
          <w:sz w:val="22"/>
        </w:rPr>
        <w:t>0.9 分差异待学校提供统计底稿后逐项核对，落实到具体指标后另出学校核对版。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逐年测算口径：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预计可达逐年滚动测算：上年预计可达＋自然增长＋本年计入增分。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分数线外推：</w:t>
      </w:r>
      <w:r>
        <w:rPr>
          <w:rFonts w:ascii="Segoe UI" w:hAnsi="Segoe UI" w:eastAsia="Microsoft YaHei"/>
          <w:b w:val="0"/>
          <w:color w:val="262626"/>
          <w:sz w:val="22"/>
        </w:rPr>
        <w:t>目标分数线以 2026 年目标名次分数为起点、按同名次段学校涨幅逐年外推（近 5 年年均 +5.3 分、近 3 年年均 +7.2 分、同段中位 +7.2 分）。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使用边界：</w:t>
      </w:r>
      <w:r>
        <w:rPr>
          <w:rFonts w:ascii="Segoe UI" w:hAnsi="Segoe UI" w:eastAsia="Microsoft YaHei"/>
          <w:b w:val="0"/>
          <w:color w:val="262626"/>
          <w:sz w:val="22"/>
        </w:rPr>
        <w:t>年份越远、不确定性越大，仅作规划参照。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需追加的提升口径：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来源按可实现性分档：学校可控、半可控的事项优先纳入行动与报告规划。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理论空间：</w:t>
      </w:r>
      <w:r>
        <w:rPr>
          <w:rFonts w:ascii="Segoe UI" w:hAnsi="Segoe UI" w:eastAsia="Microsoft YaHei"/>
          <w:b w:val="0"/>
          <w:color w:val="262626"/>
          <w:sz w:val="22"/>
        </w:rPr>
        <w:t>高端人才等未纳入目标的指标空间为理论测算，不作为达线依据。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计入规则：</w:t>
      </w:r>
      <w:r>
        <w:rPr>
          <w:rFonts w:ascii="Segoe UI" w:hAnsi="Segoe UI" w:eastAsia="Microsoft YaHei"/>
          <w:b w:val="0"/>
          <w:color w:val="262626"/>
          <w:sz w:val="22"/>
        </w:rPr>
        <w:t>需追加的提升均未计入预计可达。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名次换算：</w:t>
      </w:r>
      <w:r>
        <w:rPr>
          <w:rFonts w:ascii="Segoe UI" w:hAnsi="Segoe UI" w:eastAsia="Microsoft YaHei"/>
          <w:b w:val="0"/>
          <w:color w:val="262626"/>
          <w:sz w:val="22"/>
        </w:rPr>
        <w:t>文中名次均为按 2026 年官方分数分布测算，仅供参考；分数增减以逐项核查结果为准。</w:t>
      </w:r>
    </w:p>
    <w:p>
      <w:pPr>
        <w:pStyle w:val="Heading2"/>
      </w:pPr>
      <w:r>
        <w:rPr>
          <w:rFonts w:ascii="Georgia" w:hAnsi="Georgia" w:eastAsia="SimSun"/>
          <w:b/>
          <w:color w:val="262626"/>
          <w:sz w:val="26"/>
        </w:rPr>
        <w:t>数据来源：</w:t>
      </w:r>
    </w:p>
    <w:p>
      <w:pPr>
        <w:spacing w:after="80" w:before="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计分规则与指标定义以软科公开方法为准；本校现值以学校正式报告与公开渠道逐项核查。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核查材料：</w:t>
      </w:r>
      <w:r>
        <w:rPr>
          <w:rFonts w:ascii="Segoe UI" w:hAnsi="Segoe UI" w:eastAsia="Microsoft YaHei"/>
          <w:b w:val="0"/>
          <w:color w:val="262626"/>
          <w:sz w:val="22"/>
        </w:rPr>
        <w:t>逐项核查材料共 40 条，逐项状态见附录 A6。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未核查部分：</w:t>
      </w:r>
      <w:r>
        <w:rPr>
          <w:rFonts w:ascii="Segoe UI" w:hAnsi="Segoe UI" w:eastAsia="Microsoft YaHei"/>
          <w:b w:val="0"/>
          <w:color w:val="262626"/>
          <w:sz w:val="22"/>
        </w:rPr>
        <w:t>指标分类与 2028、2029 年行动事项为按规则初步拟定，尚未逐项核查。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技术支持：</w:t>
      </w:r>
      <w:r>
        <w:rPr>
          <w:rFonts w:ascii="Segoe UI" w:hAnsi="Segoe UI" w:eastAsia="Microsoft YaHei"/>
          <w:b w:val="0"/>
          <w:color w:val="262626"/>
          <w:sz w:val="22"/>
        </w:rPr>
        <w:t>测算由萌想科技提供技术支持。</w:t>
      </w:r>
    </w:p>
    <w:p>
      <w:pPr>
        <w:spacing w:after="100" w:before="0" w:line="320" w:lineRule="exact"/>
        <w:ind w:left="220" w:hanging="220"/>
      </w:pPr>
      <w:r>
        <w:rPr>
          <w:rFonts w:ascii="Segoe UI" w:hAnsi="Segoe UI" w:eastAsia="Microsoft YaHei"/>
          <w:b w:val="0"/>
          <w:color w:val="262626"/>
          <w:sz w:val="22"/>
        </w:rPr>
        <w:t xml:space="preserve">• </w:t>
      </w:r>
      <w:r>
        <w:rPr>
          <w:rFonts w:ascii="Segoe UI" w:hAnsi="Segoe UI" w:eastAsia="Microsoft YaHei"/>
          <w:b/>
          <w:color w:val="262626"/>
          <w:sz w:val="22"/>
        </w:rPr>
        <w:t>更新说明：</w:t>
      </w:r>
      <w:r>
        <w:rPr>
          <w:rFonts w:ascii="Segoe UI" w:hAnsi="Segoe UI" w:eastAsia="Microsoft YaHei"/>
          <w:b w:val="0"/>
          <w:color w:val="262626"/>
          <w:sz w:val="22"/>
        </w:rPr>
        <w:t>本简报于 2026 年 11 月定稿，数据截至 2026 年 10 月；专题页面为动态工作面，页面更新后与本简报不一致的，以专题页面为准，本简报同步出新版。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2026 年 11 月 1 日</w:t>
      </w:r>
    </w:p>
    <w:p>
      <w:pPr>
        <w:spacing w:before="0" w:after="100" w:line="320" w:lineRule="exact"/>
        <w:pBdr>
          <w:top w:val="single" w:sz="4" w:space="4" w:color="BFBFBF"/>
        </w:pBdr>
      </w:pPr>
      <w:r>
        <w:rPr>
          <w:rFonts w:ascii="Segoe UI" w:hAnsi="Segoe UI" w:eastAsia="Microsoft YaHei"/>
          <w:b/>
          <w:color w:val="666666"/>
          <w:sz w:val="22"/>
        </w:rPr>
        <w:t>关于萌想科技</w:t>
      </w:r>
      <w:r>
        <w:rPr>
          <w:rFonts w:ascii="Segoe UI" w:hAnsi="Segoe UI" w:eastAsia="Microsoft YaHei"/>
          <w:b w:val="0"/>
          <w:color w:val="666666"/>
          <w:sz w:val="22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p>
      <w:pPr>
        <w:pStyle w:val="Heading1"/>
        <w:pageBreakBefore/>
      </w:pPr>
      <w:bookmarkStart w:id="108" w:name="appendix"/>
      <w:r>
        <w:t>附录</w:t>
      </w:r>
      <w:bookmarkEnd w:id="108"/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附录供查对，不计入主体页数；所列数字与正文一致。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fill="EDF1F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2"/>
              </w:rPr>
              <w:t>参照值怎么读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是什么：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全国前 1/4 高校的实际水平（个别指标前 1/10，表注标明）。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有什么用：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作标尺，估算每项的提升空间与分值。</w:t>
            </w:r>
          </w:p>
          <w:p>
            <w:pPr>
              <w:spacing w:after="0" w:before="0" w:line="28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 xml:space="preserve">• </w:t>
            </w:r>
            <w:r>
              <w:rPr>
                <w:rFonts w:ascii="Segoe UI" w:hAnsi="Segoe UI" w:eastAsia="Microsoft YaHei"/>
                <w:b/>
                <w:color w:val="262626"/>
                <w:sz w:val="22"/>
              </w:rPr>
              <w:t>不是什么：</w:t>
            </w:r>
            <w:r>
              <w:rPr>
                <w:rFonts w:ascii="Segoe UI" w:hAnsi="Segoe UI" w:eastAsia="Microsoft YaHei"/>
                <w:b w:val="0"/>
                <w:color w:val="262626"/>
                <w:sz w:val="22"/>
              </w:rPr>
              <w:t>不是下达给学校的任务；核查类指标以学校实际数据为准，达到多少、计入多少。</w:t>
            </w:r>
          </w:p>
        </w:tc>
      </w:tr>
    </w:tbl>
    <w:p>
      <w:pPr>
        <w:pStyle w:val="Heading2"/>
      </w:pPr>
      <w:r>
        <w:t>A1 · 重点机会（2027 年）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A1 · 2027 年重点机会（按可实现性与提升空间选取）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531"/>
        <w:gridCol w:w="1757"/>
        <w:gridCol w:w="3231"/>
        <w:gridCol w:w="1757"/>
        <w:gridCol w:w="1134"/>
      </w:tblGrid>
      <w:tr>
        <w:trPr>
          <w:tblHeader w:val="true"/>
          <w:cantSplit/>
        </w:trPr>
        <w:tc>
          <w:tcPr>
            <w:tcW w:type="dxa" w:w="153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5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与参照值差距</w:t>
            </w:r>
          </w:p>
        </w:tc>
        <w:tc>
          <w:tcPr>
            <w:tcW w:type="dxa" w:w="323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策略与方法</w:t>
            </w:r>
          </w:p>
        </w:tc>
        <w:tc>
          <w:tcPr>
            <w:tcW w:type="dxa" w:w="1757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证据与条件</w:t>
            </w:r>
          </w:p>
        </w:tc>
        <w:tc>
          <w:tcPr>
            <w:tcW w:type="dxa" w:w="113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机会状态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3.44 万元 → 4.87 万元（全额 +1.34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决算总计口径核对：财务决算与高基表学生数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决算总计口径核对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——若收入统计口径与平台不一致：先统一决算总计口径再测算，不直接采用推导值。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分母锁定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——学生总数按高基表时点数锁定，避免生均被分母口径波动带偏。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财务处：年度决算报表（收入总计口径）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12.39% → 15.98%（全额 +1.17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机构导出逐条核对：合作国家字段与署名归属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机构署名变体归并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——机构英文名变体（历史拼写、校区与附属机构）逐一归并，变体名下合作论文归位后重新测算。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署名规范前置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——对外合作发文统一机构英文署名规范，自 2026 年发文起执行。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科研处：Scopus 机构检索导出（近五年，含合作国家与机构变体字段）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0.0510 → 0.0546（全额 +1.04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专任教师口径归集核对：高基表台账逐人核对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认定口径归集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——返聘、外聘与兼职教师按教育事业统计认定口径逐项归集，先定口径再定值。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与学历结构同批核对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——与教师学历结构同一张高基表一次交接，两项教师口径同批已确定。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人事处：专任教师明细（时点总数，注明认定口径）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89.94% → 95.33%（全额 +0.95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正教授名单与授课名单逐人核对：教务台账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实验与实践课程带教认定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——实验、实训与毕业设计指导由教授承担的部分，先按认定口径核对是否已计入授课。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联合授课共同主讲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——课程按教研室团队组织时，共同主讲的教授授课记录按台账实际逐人认定。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教务处：正教授名单与本科授课名单（逐人，注明课程与学时）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0.956 → 1.110（全额 +0.86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存量导出逐项核对：机构归属与期刊层级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存量归属归位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；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署名规范前置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科研处：Scopus 机构导出（存量论文，含期刊层级与被引字段）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研本比（备选事项）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0.1797 → 0.2497（全额 +1.78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本硕博在校生分列核对：研究生院与教务台账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在校生分列核对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研究生院：本硕博在校生分列台账（2026 版取数对应年度）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国际期刊论文（师均）（备选事项）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3.70 篇 → 6.27 篇（全额 +0.77 分）</w:t>
            </w:r>
          </w:p>
        </w:tc>
        <w:tc>
          <w:tcPr>
            <w:tcW w:type="dxa" w:w="323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595959"/>
                <w:sz w:val="20"/>
              </w:rPr>
              <w:t>主路径：</w:t>
            </w: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Scopus 同批导出核对：与论文质量项一次导出</w:t>
            </w:r>
          </w:p>
          <w:p>
            <w:pPr>
              <w:spacing w:after="0" w:before="100" w:line="270" w:lineRule="exact"/>
            </w:pP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替代路径：</w:t>
            </w:r>
            <w:r>
              <w:rPr>
                <w:rFonts w:ascii="Segoe UI" w:hAnsi="Segoe UI" w:eastAsia="Microsoft YaHei"/>
                <w:b/>
                <w:color w:val="595959"/>
                <w:sz w:val="20"/>
              </w:rPr>
              <w:t>同批导出核对</w:t>
            </w:r>
          </w:p>
        </w:tc>
        <w:tc>
          <w:tcPr>
            <w:tcW w:type="dxa" w:w="1757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科研处：Scopus 机构导出（近五年论文清单，与论文质量项同批）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有线索待核对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注：选取口径为可实现性（学校可控优先）与提升空间；「差距」为现值与参照值之差，口径见开头说明框；机会状态分四档：已核实可计入、有线索待核对、需底账验证、长期建设。</w:t>
      </w:r>
    </w:p>
    <w:p>
      <w:pPr>
        <w:pStyle w:val="Heading2"/>
        <w:pageBreakBefore/>
      </w:pPr>
      <w:r>
        <w:t>A2 · 全量核对表（三年）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A2-1 · 2027 年逐项核查十四项全表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041"/>
        <w:gridCol w:w="1474"/>
        <w:gridCol w:w="1474"/>
        <w:gridCol w:w="4422"/>
      </w:tblGrid>
      <w:tr>
        <w:trPr>
          <w:tblHeader w:val="true"/>
          <w:cantSplit/>
        </w:trPr>
        <w:tc>
          <w:tcPr>
            <w:tcW w:type="dxa" w:w="204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442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3.44 万元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4.87 万元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12.39%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15.98%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0.0510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0.0546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89.94%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95.33%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0.956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1.110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本科生增值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36.16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56.85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0.0038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0.0105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35.90%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生源质量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46.46 分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51.77 分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121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335.5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86.70%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93.01%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学校收入（总额）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11.07 亿元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21.25 亿元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留学生比例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0.24%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1.14%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社会捐赠收入（总额）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127.6 万元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1,495.2 万元</w:t>
            </w:r>
          </w:p>
        </w:tc>
        <w:tc>
          <w:tcPr>
            <w:tcW w:type="dxa" w:w="442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注：纳入目标项参照值均为同类学校前 1/4 水平；备选事项未定档，参照值栏记定档说明；测算参照按前 1/4 水平测算。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备选事项 4 项（名单见第二节备选与观察）：全部计入估算 +3.17~+9.66 分（中间值约 +6 分），不计入首年合计。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A2-2 · 2028 年行动事项全表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535"/>
        <w:gridCol w:w="1701"/>
        <w:gridCol w:w="1701"/>
        <w:gridCol w:w="1474"/>
      </w:tblGrid>
      <w:tr>
        <w:trPr>
          <w:tblHeader w:val="true"/>
          <w:cantSplit/>
        </w:trPr>
        <w:tc>
          <w:tcPr>
            <w:tcW w:type="dxa" w:w="453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86.7%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93.01%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教师学历结构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49.06%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55.35%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22.41%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3.443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4.874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注：「参照值」为该年规划达到值；事项为按规则初步拟定、尚未逐项核查，核对状态均为待核对。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其余 1 项现值、参照值与核对状态同上一年，见上一年全量表（表 A2-1）。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A2-3 · 2029 年行动事项全表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535"/>
        <w:gridCol w:w="1701"/>
        <w:gridCol w:w="1701"/>
        <w:gridCol w:w="1474"/>
      </w:tblGrid>
      <w:tr>
        <w:trPr>
          <w:tblHeader w:val="true"/>
          <w:cantSplit/>
        </w:trPr>
        <w:tc>
          <w:tcPr>
            <w:tcW w:type="dxa" w:w="453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现值</w:t>
            </w:r>
          </w:p>
        </w:tc>
        <w:tc>
          <w:tcPr>
            <w:tcW w:type="dxa" w:w="170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参照值</w:t>
            </w:r>
          </w:p>
        </w:tc>
        <w:tc>
          <w:tcPr>
            <w:tcW w:type="dxa" w:w="1474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核对状态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17.35%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35.9%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121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200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53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12.39%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70" w:lineRule="exact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15.98%</w:t>
            </w:r>
          </w:p>
        </w:tc>
        <w:tc>
          <w:tcPr>
            <w:tcW w:type="dxa" w:w="1474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待核对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注：「参照值」为该年规划达到值；事项为按规则初步拟定、尚未逐项核查，核对状态均为待核对。</w:t>
      </w:r>
    </w:p>
    <w:p>
      <w:pPr>
        <w:spacing w:after="100" w:before="0" w:line="320" w:lineRule="exact"/>
      </w:pPr>
      <w:r>
        <w:rPr>
          <w:rFonts w:ascii="Segoe UI" w:hAnsi="Segoe UI" w:eastAsia="Microsoft YaHei"/>
          <w:b w:val="0"/>
          <w:color w:val="595959"/>
          <w:sz w:val="22"/>
        </w:rPr>
        <w:t>其余 1 项现值、参照值与核对状态同上一年，见上一年全量表（表 A2-2）。</w:t>
      </w:r>
    </w:p>
    <w:p>
      <w:pPr>
        <w:pStyle w:val="Heading2"/>
        <w:pageBreakBefore/>
      </w:pPr>
      <w:r>
        <w:t>A3 · 指标分类汇总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A3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928"/>
        <w:gridCol w:w="1020"/>
        <w:gridCol w:w="6463"/>
      </w:tblGrid>
      <w:tr>
        <w:trPr>
          <w:tblHeader w:val="true"/>
          <w:cantSplit/>
        </w:trPr>
        <w:tc>
          <w:tcPr>
            <w:tcW w:type="dxa" w:w="192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类别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项数</w:t>
            </w:r>
          </w:p>
        </w:tc>
        <w:tc>
          <w:tcPr>
            <w:tcW w:type="dxa" w:w="6463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说明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报告统计类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以正式报告与统计为依据，编制期先行评审口径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台账核对类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23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以学校台账与官方名单逐项核对后确定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建设推进类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33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以年度建设推进，增量作用于后续版本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观察类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21</w:t>
            </w:r>
          </w:p>
        </w:tc>
        <w:tc>
          <w:tcPr>
            <w:tcW w:type="dxa" w:w="6463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仅作观察，不计入目标与预期</w:t>
            </w:r>
          </w:p>
        </w:tc>
      </w:tr>
      <w:tr>
        <w:trPr>
          <w:cantSplit/>
        </w:trPr>
        <w:tc>
          <w:tcPr>
            <w:tcW w:type="dxa" w:w="1928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合计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100</w:t>
            </w:r>
          </w:p>
        </w:tc>
        <w:tc>
          <w:tcPr>
            <w:tcW w:type="dxa" w:w="6463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全量 100 项分类不在本简报载录，本表仅列汇总</w:t>
            </w:r>
          </w:p>
        </w:tc>
      </w:tr>
    </w:tbl>
    <w:p>
      <w:pPr>
        <w:pStyle w:val="Heading2"/>
      </w:pPr>
      <w:r>
        <w:t>A4 · 正式报告与统计的对应关系和责任部门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A4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2608"/>
        <w:gridCol w:w="2551"/>
        <w:gridCol w:w="4252"/>
      </w:tblGrid>
      <w:tr>
        <w:trPr>
          <w:tblHeader w:val="true"/>
          <w:cantSplit/>
        </w:trPr>
        <w:tc>
          <w:tcPr>
            <w:tcW w:type="dxa" w:w="2608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报告与统计</w:t>
            </w:r>
          </w:p>
        </w:tc>
        <w:tc>
          <w:tcPr>
            <w:tcW w:type="dxa" w:w="2551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责任部门</w:t>
            </w:r>
          </w:p>
        </w:tc>
        <w:tc>
          <w:tcPr>
            <w:tcW w:type="dxa" w:w="4252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对应事项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毕业生就业质量报告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学生工作部 · 就业指导中心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本科毕业生深造率、本科毕业生毕业去向落实率；深造率按年定目标（2028 年约 22%、2029 年约 25%）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教务处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授课教授比例、教授授课率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教育事业统计（高基表）与学校正式发布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人事处 · 发展规划处（统筹） · 国际交流合作处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教师学历结构、研本比等 11 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部门决算与财务公开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科学技术处 · 财务处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学校收入（生均）、科研经费（师均）等 5 项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基金会年报与捐赠入账记录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校友工作部 · 教育发展基金会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社会捐赠收入（总额）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平台与专业认定名单归集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科学技术处</w:t>
            </w:r>
          </w:p>
        </w:tc>
        <w:tc>
          <w:tcPr>
            <w:tcW w:type="dxa" w:w="4252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科研平台（师均折合数）、科研平台（折合数）</w:t>
            </w:r>
          </w:p>
        </w:tc>
      </w:tr>
    </w:tbl>
    <w:p>
      <w:pPr>
        <w:pStyle w:val="Heading2"/>
        <w:pageBreakBefore/>
      </w:pPr>
      <w:r>
        <w:t>A5 · 年度重要时间节点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A5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1020"/>
        <w:gridCol w:w="4876"/>
        <w:gridCol w:w="3515"/>
      </w:tblGrid>
      <w:tr>
        <w:trPr>
          <w:tblHeader w:val="true"/>
          <w:cantSplit/>
        </w:trPr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月份</w:t>
            </w:r>
          </w:p>
        </w:tc>
        <w:tc>
          <w:tcPr>
            <w:tcW w:type="dxa" w:w="4876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节点</w:t>
            </w:r>
          </w:p>
        </w:tc>
        <w:tc>
          <w:tcPr>
            <w:tcW w:type="dxa" w:w="351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影响版本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爱思唯尔中国高被引科学家名单发布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下一版核查参考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3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科技统计年报报送；国家自然科学基金集中申报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版（数据生产）；2029 版起（项目增量）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4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软科中国大学排名发布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当版（结果与核查核对）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6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部门决算编制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7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毕业生去向登记查漏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8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部门决算公开 · 落实率统计截止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9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高基表统计时点（9 月 1 日）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10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高基表报送截止 · 最好学科发布 · 社科立项公布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版（数据生产）· 2027 版（学科取数）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11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数据共享计划（DEP）填报启动 · 高被引名单发布；就业质量报告编制启动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2027 版（提报与取数）；2028 版（数据生产）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12 月</w:t>
            </w:r>
          </w:p>
        </w:tc>
        <w:tc>
          <w:tcPr>
            <w:tcW w:type="dxa" w:w="4876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本科教学质量报告发布期 · 就业质量报告发布</w:t>
            </w:r>
          </w:p>
        </w:tc>
        <w:tc>
          <w:tcPr>
            <w:tcW w:type="dxa" w:w="351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2028 版（数据生产）</w:t>
            </w:r>
          </w:p>
        </w:tc>
      </w:tr>
    </w:tbl>
    <w:p>
      <w:pPr>
        <w:pStyle w:val="Heading2"/>
      </w:pPr>
      <w:r>
        <w:t>A6 · 核查材料分布</w:t>
      </w:r>
    </w:p>
    <w:p>
      <w:pPr>
        <w:keepNext/>
        <w:spacing w:after="100" w:before="18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A6 · 逐项核查材料条数分布（共 40 条）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80" w:type="dxa"/>
          <w:left w:w="100" w:type="dxa"/>
          <w:bottom w:w="80" w:type="dxa"/>
          <w:right w:w="100" w:type="dxa"/>
        </w:tblCellMar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</w:tblPr>
      <w:tblGrid>
        <w:gridCol w:w="4195"/>
        <w:gridCol w:w="1020"/>
        <w:gridCol w:w="1020"/>
        <w:gridCol w:w="1020"/>
      </w:tblGrid>
      <w:tr>
        <w:trPr>
          <w:tblHeader w:val="true"/>
          <w:cantSplit/>
        </w:trPr>
        <w:tc>
          <w:tcPr>
            <w:tcW w:type="dxa" w:w="4195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指标组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条数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已核对</w:t>
            </w:r>
          </w:p>
        </w:tc>
        <w:tc>
          <w:tcPr>
            <w:tcW w:type="dxa" w:w="1020"/>
            <w:shd w:val="clear" w:fill="EDF1F5"/>
            <w:tcBorders>
              <w:bottom w:val="single" w:sz="12" w:space="0" w:color="404040"/>
            </w:tcBorders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待核对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授课教授比例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国际合作论文比例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学校收入（生均）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国际期刊论文质量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师生比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本科毕业生深造率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本科毕业生毕业去向落实率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学校收入（总额）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留学生比例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社会捐赠收入（总额）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科创竞赛奖（折合数）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科创竞赛奖（生均折合数）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生源质量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本科生增值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研本比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国际期刊论文（师均）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国际期刊论文（总数）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论文被引总次数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195"/>
            <w:shd w:val="clear" w:fill="FAF8F1"/>
            <w:vAlign w:val="center"/>
          </w:tcPr>
          <w:p>
            <w:pPr>
              <w:spacing w:after="0" w:before="0" w:line="270" w:lineRule="exact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合计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40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  <w:tc>
          <w:tcPr>
            <w:tcW w:type="dxa" w:w="1020"/>
            <w:shd w:val="clear" w:fill="FAF8F1"/>
            <w:vAlign w:val="center"/>
          </w:tcPr>
          <w:p>
            <w:pPr>
              <w:spacing w:after="0" w:before="0" w:line="270" w:lineRule="exact"/>
              <w:jc w:val="center"/>
            </w:pPr>
            <w:r/>
            <w:r>
              <w:rPr>
                <w:rFonts w:ascii="Segoe UI" w:hAnsi="Segoe UI" w:eastAsia="Microsoft YaHei"/>
                <w:b/>
                <w:color w:val="262626"/>
                <w:sz w:val="20"/>
              </w:rPr>
              <w:t>—</w:t>
            </w:r>
          </w:p>
        </w:tc>
      </w:tr>
    </w:tbl>
    <w:p>
      <w:pPr>
        <w:spacing w:after="180" w:before="100" w:line="260" w:lineRule="exact"/>
      </w:pPr>
      <w:r>
        <w:rPr>
          <w:rFonts w:ascii="Segoe UI" w:hAnsi="Segoe UI" w:eastAsia="Microsoft YaHei"/>
          <w:b w:val="0"/>
          <w:color w:val="8A8A8A"/>
          <w:sz w:val="18"/>
        </w:rPr>
        <w:t>注：本表按指标组统计条数；个别事项单独核查，不计入本表。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哈尔滨理工大学 · 软科中国大学排名提升工作简报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100" w:before="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80" w:line="460" w:lineRule="exact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 w:line="380" w:lineRule="exact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626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 w:line="380" w:lineRule="exact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626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